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487"/>
        <w:gridCol w:w="373"/>
        <w:gridCol w:w="4590"/>
      </w:tblGrid>
      <w:tr w:rsidR="00CC0A8F" w:rsidRPr="005F0F31" w:rsidTr="004642F0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EF290F" w:rsidRDefault="00EF290F" w:rsidP="00B56772">
            <w:pPr>
              <w:pStyle w:val="Heading1"/>
              <w:jc w:val="center"/>
              <w:rPr>
                <w:rStyle w:val="Heading1Char"/>
                <w:sz w:val="44"/>
                <w:szCs w:val="44"/>
              </w:rPr>
            </w:pPr>
            <w:bookmarkStart w:id="0" w:name="_Hlk514276837"/>
            <w:bookmarkStart w:id="1" w:name="_GoBack"/>
            <w:bookmarkEnd w:id="1"/>
            <w:r w:rsidRPr="00EF290F">
              <w:rPr>
                <w:sz w:val="44"/>
                <w:szCs w:val="44"/>
              </w:rPr>
              <w:t>Autism Virtual Parent Groups</w:t>
            </w:r>
          </w:p>
          <w:p w:rsidR="007D43B3" w:rsidRPr="00990E76" w:rsidRDefault="007D43B3" w:rsidP="00990E76"/>
          <w:p w:rsidR="007D43B3" w:rsidRPr="00F37523" w:rsidRDefault="00EF290F" w:rsidP="00B56772">
            <w:pPr>
              <w:pStyle w:val="Heading1"/>
              <w:jc w:val="both"/>
              <w:rPr>
                <w:rStyle w:val="Heading1Char"/>
                <w:b/>
              </w:rPr>
            </w:pPr>
            <w:r>
              <w:t>Two times available this month.</w:t>
            </w:r>
          </w:p>
          <w:p w:rsidR="007D43B3" w:rsidRPr="00EF290F" w:rsidRDefault="003D4F41" w:rsidP="003D4F41">
            <w:pPr>
              <w:jc w:val="both"/>
              <w:rPr>
                <w:u w:val="single"/>
              </w:rPr>
            </w:pPr>
            <w:r>
              <w:t>We are able to provide a day</w:t>
            </w:r>
            <w:r w:rsidR="00EF290F">
              <w:t xml:space="preserve">time group on </w:t>
            </w:r>
            <w:r w:rsidR="00EF290F">
              <w:rPr>
                <w:u w:val="single"/>
              </w:rPr>
              <w:t>Monday</w:t>
            </w:r>
            <w:r>
              <w:rPr>
                <w:u w:val="single"/>
              </w:rPr>
              <w:t>,</w:t>
            </w:r>
            <w:r w:rsidR="00EF290F">
              <w:rPr>
                <w:u w:val="single"/>
              </w:rPr>
              <w:t xml:space="preserve"> </w:t>
            </w:r>
            <w:r w:rsidR="00EF290F" w:rsidRPr="00EF290F">
              <w:rPr>
                <w:u w:val="single"/>
              </w:rPr>
              <w:t>September</w:t>
            </w:r>
            <w:r>
              <w:rPr>
                <w:u w:val="single"/>
              </w:rPr>
              <w:t xml:space="preserve"> 21</w:t>
            </w:r>
            <w:r w:rsidR="00EF290F" w:rsidRPr="00EF290F">
              <w:rPr>
                <w:u w:val="single"/>
              </w:rPr>
              <w:t xml:space="preserve"> at 10</w:t>
            </w:r>
            <w:r>
              <w:rPr>
                <w:u w:val="single"/>
              </w:rPr>
              <w:t>:00</w:t>
            </w:r>
            <w:r w:rsidR="00EF290F" w:rsidRPr="00EF290F">
              <w:rPr>
                <w:u w:val="single"/>
              </w:rPr>
              <w:t xml:space="preserve"> am.</w:t>
            </w:r>
            <w:r w:rsidR="00EF290F">
              <w:t xml:space="preserve"> </w:t>
            </w:r>
            <w:r>
              <w:t xml:space="preserve"> A</w:t>
            </w:r>
            <w:r w:rsidR="00EF290F">
              <w:t xml:space="preserve">n evening group </w:t>
            </w:r>
            <w:r>
              <w:t xml:space="preserve">is available on </w:t>
            </w:r>
            <w:r>
              <w:rPr>
                <w:u w:val="single"/>
              </w:rPr>
              <w:t>Tuesday,</w:t>
            </w:r>
            <w:r w:rsidR="00EF290F" w:rsidRPr="00EF290F">
              <w:rPr>
                <w:u w:val="single"/>
              </w:rPr>
              <w:t xml:space="preserve"> September</w:t>
            </w:r>
            <w:r>
              <w:rPr>
                <w:u w:val="single"/>
              </w:rPr>
              <w:t xml:space="preserve"> 22</w:t>
            </w:r>
            <w:r w:rsidR="00EF290F" w:rsidRPr="00EF290F">
              <w:rPr>
                <w:u w:val="single"/>
              </w:rPr>
              <w:t xml:space="preserve"> at 6</w:t>
            </w:r>
            <w:r>
              <w:rPr>
                <w:u w:val="single"/>
              </w:rPr>
              <w:t xml:space="preserve">:00 </w:t>
            </w:r>
            <w:r w:rsidR="00EF290F" w:rsidRPr="00EF290F">
              <w:rPr>
                <w:u w:val="single"/>
              </w:rPr>
              <w:t>pm</w:t>
            </w:r>
          </w:p>
          <w:p w:rsidR="007D43B3" w:rsidRPr="00F37523" w:rsidRDefault="003D4F41" w:rsidP="003D4F41">
            <w:pPr>
              <w:pStyle w:val="Heading1"/>
              <w:jc w:val="both"/>
              <w:rPr>
                <w:rStyle w:val="Heading1Char"/>
                <w:b/>
              </w:rPr>
            </w:pPr>
            <w:r>
              <w:t>Below</w:t>
            </w:r>
            <w:r w:rsidR="00EF290F">
              <w:t xml:space="preserve"> are the dates for the virtual parent group through to December </w:t>
            </w:r>
            <w:r>
              <w:t>2020.</w:t>
            </w:r>
          </w:p>
          <w:bookmarkEnd w:id="0"/>
          <w:p w:rsidR="00CC0A8F" w:rsidRDefault="00EF290F" w:rsidP="00EF290F">
            <w:r>
              <w:t xml:space="preserve">October </w:t>
            </w:r>
            <w:r w:rsidR="00465C9B">
              <w:t>6</w:t>
            </w:r>
            <w:r w:rsidR="003D4F41">
              <w:t xml:space="preserve"> -</w:t>
            </w:r>
            <w:r w:rsidR="00465C9B">
              <w:t xml:space="preserve"> 11</w:t>
            </w:r>
            <w:r w:rsidR="003D4F41">
              <w:t xml:space="preserve">:00 </w:t>
            </w:r>
            <w:r w:rsidR="00465C9B">
              <w:t>am</w:t>
            </w:r>
            <w:r>
              <w:t>.</w:t>
            </w:r>
          </w:p>
          <w:p w:rsidR="00EF290F" w:rsidRDefault="00EF290F" w:rsidP="00EF290F">
            <w:r>
              <w:t>October 20</w:t>
            </w:r>
            <w:r w:rsidR="003D4F41">
              <w:t xml:space="preserve"> -</w:t>
            </w:r>
            <w:r>
              <w:t xml:space="preserve"> 11</w:t>
            </w:r>
            <w:r w:rsidR="003D4F41">
              <w:t>:00</w:t>
            </w:r>
            <w:r>
              <w:t xml:space="preserve"> am.</w:t>
            </w:r>
          </w:p>
          <w:p w:rsidR="00EF290F" w:rsidRDefault="00EF290F" w:rsidP="00EF290F">
            <w:r>
              <w:t>November 3</w:t>
            </w:r>
            <w:r w:rsidR="003D4F41">
              <w:t xml:space="preserve"> -</w:t>
            </w:r>
            <w:r>
              <w:t xml:space="preserve"> 11</w:t>
            </w:r>
            <w:r w:rsidR="003D4F41">
              <w:t>:00</w:t>
            </w:r>
            <w:r>
              <w:t xml:space="preserve"> am.</w:t>
            </w:r>
          </w:p>
          <w:p w:rsidR="00EF290F" w:rsidRDefault="00EF290F" w:rsidP="00EF290F">
            <w:r>
              <w:t>November 18</w:t>
            </w:r>
            <w:r w:rsidR="003D4F41">
              <w:t xml:space="preserve"> -</w:t>
            </w:r>
            <w:r>
              <w:t xml:space="preserve"> 11</w:t>
            </w:r>
            <w:r w:rsidR="003D4F41">
              <w:t xml:space="preserve">:00 </w:t>
            </w:r>
            <w:r>
              <w:t>am.</w:t>
            </w:r>
          </w:p>
          <w:p w:rsidR="00EF290F" w:rsidRPr="00990E76" w:rsidRDefault="00EF290F" w:rsidP="003D4F41">
            <w:r>
              <w:t>December 1</w:t>
            </w:r>
            <w:r w:rsidR="003D4F41">
              <w:t xml:space="preserve"> -</w:t>
            </w:r>
            <w:r>
              <w:t xml:space="preserve"> 11</w:t>
            </w:r>
            <w:r w:rsidR="003D4F41">
              <w:t>:00</w:t>
            </w:r>
            <w:r>
              <w:t xml:space="preserve"> am</w:t>
            </w:r>
            <w:r w:rsidR="00465C9B">
              <w:t>.</w:t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  <w:tcBorders>
              <w:bottom w:val="nil"/>
            </w:tcBorders>
          </w:tcPr>
          <w:p w:rsidR="005A0B4C" w:rsidRPr="005A0B4C" w:rsidRDefault="005A0B4C" w:rsidP="005A0B4C">
            <w:pPr>
              <w:pStyle w:val="Heading2"/>
              <w:rPr>
                <w:color w:val="auto"/>
              </w:rPr>
            </w:pPr>
            <w:r w:rsidRPr="005A0B4C">
              <w:rPr>
                <w:color w:val="auto"/>
              </w:rPr>
              <w:t>Share!</w:t>
            </w:r>
          </w:p>
          <w:p w:rsidR="00CC0A8F" w:rsidRPr="005A0B4C" w:rsidRDefault="005A0B4C" w:rsidP="003D4F41">
            <w:pPr>
              <w:pStyle w:val="Heading2"/>
              <w:jc w:val="both"/>
              <w:rPr>
                <w:rFonts w:asciiTheme="minorHAnsi" w:hAnsiTheme="minorHAnsi"/>
                <w:color w:val="auto"/>
                <w:spacing w:val="0"/>
                <w:sz w:val="22"/>
              </w:rPr>
            </w:pPr>
            <w:r>
              <w:rPr>
                <w:rFonts w:asciiTheme="minorHAnsi" w:hAnsiTheme="minorHAnsi"/>
                <w:b w:val="0"/>
                <w:spacing w:val="0"/>
                <w:sz w:val="22"/>
              </w:rPr>
              <w:t xml:space="preserve"> </w:t>
            </w:r>
            <w:r w:rsidRPr="005A0B4C">
              <w:rPr>
                <w:rFonts w:asciiTheme="minorHAnsi" w:hAnsiTheme="minorHAnsi"/>
                <w:color w:val="auto"/>
                <w:spacing w:val="0"/>
                <w:sz w:val="22"/>
              </w:rPr>
              <w:t xml:space="preserve">We want to hear from you. </w:t>
            </w:r>
            <w:r w:rsidR="003D4F41">
              <w:rPr>
                <w:rFonts w:asciiTheme="minorHAnsi" w:hAnsiTheme="minorHAnsi"/>
                <w:color w:val="auto"/>
                <w:spacing w:val="0"/>
                <w:sz w:val="22"/>
              </w:rPr>
              <w:t xml:space="preserve"> </w:t>
            </w:r>
            <w:r w:rsidRPr="005A0B4C">
              <w:rPr>
                <w:rFonts w:asciiTheme="minorHAnsi" w:hAnsiTheme="minorHAnsi"/>
                <w:color w:val="auto"/>
                <w:spacing w:val="0"/>
                <w:sz w:val="22"/>
              </w:rPr>
              <w:t xml:space="preserve">What do you want to learn? </w:t>
            </w:r>
            <w:r w:rsidR="003D4F41">
              <w:rPr>
                <w:rFonts w:asciiTheme="minorHAnsi" w:hAnsiTheme="minorHAnsi"/>
                <w:color w:val="auto"/>
                <w:spacing w:val="0"/>
                <w:sz w:val="22"/>
              </w:rPr>
              <w:t xml:space="preserve"> </w:t>
            </w:r>
            <w:r w:rsidRPr="005A0B4C">
              <w:rPr>
                <w:rFonts w:asciiTheme="minorHAnsi" w:hAnsiTheme="minorHAnsi"/>
                <w:color w:val="auto"/>
                <w:spacing w:val="0"/>
                <w:sz w:val="22"/>
              </w:rPr>
              <w:t xml:space="preserve">Maybe you want to get more information about a topic of </w:t>
            </w:r>
            <w:r w:rsidR="003D4F41" w:rsidRPr="005A0B4C">
              <w:rPr>
                <w:rFonts w:asciiTheme="minorHAnsi" w:hAnsiTheme="minorHAnsi"/>
                <w:color w:val="auto"/>
                <w:spacing w:val="0"/>
                <w:sz w:val="22"/>
              </w:rPr>
              <w:t>interest.</w:t>
            </w:r>
            <w:r w:rsidR="00E77D3A">
              <w:rPr>
                <w:rFonts w:asciiTheme="minorHAnsi" w:hAnsiTheme="minorHAnsi"/>
                <w:color w:val="auto"/>
                <w:spacing w:val="0"/>
                <w:sz w:val="22"/>
              </w:rPr>
              <w:t xml:space="preserve"> </w:t>
            </w:r>
            <w:r w:rsidRPr="005A0B4C">
              <w:rPr>
                <w:rFonts w:asciiTheme="minorHAnsi" w:hAnsiTheme="minorHAnsi"/>
                <w:color w:val="auto"/>
                <w:spacing w:val="0"/>
                <w:sz w:val="22"/>
              </w:rPr>
              <w:t xml:space="preserve"> Let us help you find what you need.</w:t>
            </w:r>
          </w:p>
          <w:p w:rsidR="005A0B4C" w:rsidRDefault="00F47F8D" w:rsidP="005A0B4C">
            <w:hyperlink r:id="rId11" w:history="1">
              <w:r w:rsidR="005A0B4C" w:rsidRPr="008A3E76">
                <w:rPr>
                  <w:rStyle w:val="Hyperlink"/>
                </w:rPr>
                <w:t>Ellen.anderson@csbd.on.ca</w:t>
              </w:r>
            </w:hyperlink>
          </w:p>
          <w:p w:rsidR="005A0B4C" w:rsidRDefault="00F47F8D" w:rsidP="005A0B4C">
            <w:hyperlink r:id="rId12" w:history="1">
              <w:r w:rsidR="005A0B4C" w:rsidRPr="008A3E76">
                <w:rPr>
                  <w:rStyle w:val="Hyperlink"/>
                </w:rPr>
                <w:t>Ann-marie.wilson@csbd.on.ca</w:t>
              </w:r>
            </w:hyperlink>
          </w:p>
          <w:p w:rsidR="005A0B4C" w:rsidRPr="005A0B4C" w:rsidRDefault="005A0B4C" w:rsidP="005A0B4C"/>
        </w:tc>
        <w:tc>
          <w:tcPr>
            <w:tcW w:w="373" w:type="dxa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CC0A8F" w:rsidRPr="005F0F31" w:rsidRDefault="00CC0A8F" w:rsidP="005F0F31">
            <w:pPr>
              <w:rPr>
                <w:noProof/>
              </w:rPr>
            </w:pPr>
          </w:p>
        </w:tc>
      </w:tr>
      <w:tr w:rsidR="00CC0A8F" w:rsidRPr="005F0F31" w:rsidTr="004642F0">
        <w:trPr>
          <w:trHeight w:val="450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487" w:type="dxa"/>
          </w:tcPr>
          <w:p w:rsidR="00CC0A8F" w:rsidRPr="005F0F31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73" w:type="dxa"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CC0A8F" w:rsidRPr="005F0F31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F0F31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5F0F31" w:rsidRDefault="00CC0A8F" w:rsidP="004642F0">
            <w:pPr>
              <w:pStyle w:val="NoSpacing"/>
              <w:rPr>
                <w:noProof/>
              </w:rPr>
            </w:pP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F0F31" w:rsidRDefault="00CC0A8F" w:rsidP="005F0F31">
            <w:pPr>
              <w:rPr>
                <w:sz w:val="21"/>
              </w:rPr>
            </w:pPr>
          </w:p>
        </w:tc>
      </w:tr>
      <w:tr w:rsidR="004642F0" w:rsidRPr="005F0F31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F0F31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7D43B3" w:rsidRPr="00F37523" w:rsidRDefault="00813BE0" w:rsidP="00813BE0">
            <w:pPr>
              <w:pStyle w:val="Title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289AA25" wp14:editId="25921774">
                  <wp:extent cx="1988820" cy="952500"/>
                  <wp:effectExtent l="0" t="0" r="0" b="0"/>
                  <wp:docPr id="1" name="Picture 1" descr="http://www.csbd.on.ca/wp-content/uploads/2015/02/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sbd.on.ca/wp-content/uploads/2015/02/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0A8F" w:rsidRPr="00CC0A8F" w:rsidRDefault="00CC0A8F" w:rsidP="00C46111">
      <w:r w:rsidRPr="00CC0A8F"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250"/>
        <w:gridCol w:w="4666"/>
        <w:gridCol w:w="360"/>
        <w:gridCol w:w="4590"/>
      </w:tblGrid>
      <w:tr w:rsidR="00346FFA" w:rsidRPr="005F0F31" w:rsidTr="005A0B4C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250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666" w:type="dxa"/>
            <w:vMerge w:val="restart"/>
          </w:tcPr>
          <w:p w:rsidR="00B67824" w:rsidRPr="00F37523" w:rsidRDefault="005A0B4C" w:rsidP="003D4F41">
            <w:pPr>
              <w:pStyle w:val="Heading1"/>
              <w:jc w:val="center"/>
              <w:rPr>
                <w:rStyle w:val="Heading1Char"/>
                <w:b/>
              </w:rPr>
            </w:pPr>
            <w:r>
              <w:t>Brief Targeted</w:t>
            </w:r>
            <w:r w:rsidR="00813BE0">
              <w:t xml:space="preserve"> Consultations</w:t>
            </w:r>
          </w:p>
          <w:p w:rsidR="003D4F41" w:rsidRDefault="00813BE0" w:rsidP="003D4F41">
            <w:pPr>
              <w:jc w:val="both"/>
            </w:pPr>
            <w:r>
              <w:t>Parents and caregivers can schedule consults with a member of our team to discuss strategies and tools to address a specific goal.</w:t>
            </w:r>
            <w:r w:rsidR="003D4F41">
              <w:t xml:space="preserve"> </w:t>
            </w:r>
            <w:r>
              <w:t xml:space="preserve"> Parents and Caregivers will leave their appointment with concrete tools and strategies they can implement when they get home. </w:t>
            </w:r>
          </w:p>
          <w:p w:rsidR="00B67824" w:rsidRPr="00813BE0" w:rsidRDefault="00813BE0" w:rsidP="003D4F41">
            <w:pPr>
              <w:jc w:val="both"/>
              <w:rPr>
                <w:i/>
              </w:rPr>
            </w:pPr>
            <w:r w:rsidRPr="00813BE0">
              <w:rPr>
                <w:i/>
              </w:rPr>
              <w:t>Please note: we will not be able to address serious or potentially serious challenging behaviour within a consultation appointment</w:t>
            </w:r>
            <w:r w:rsidR="003D4F41">
              <w:rPr>
                <w:i/>
              </w:rPr>
              <w:t>.  A</w:t>
            </w:r>
            <w:r w:rsidRPr="00813BE0">
              <w:rPr>
                <w:i/>
              </w:rPr>
              <w:t xml:space="preserve"> more thorough assessment an</w:t>
            </w:r>
            <w:r w:rsidR="00E77D3A">
              <w:rPr>
                <w:i/>
              </w:rPr>
              <w:t>d intervention would be required to address this.</w:t>
            </w:r>
          </w:p>
          <w:p w:rsidR="00346FFA" w:rsidRPr="00990E76" w:rsidRDefault="00346FFA" w:rsidP="005A0B4C">
            <w:pPr>
              <w:pStyle w:val="Heading1"/>
            </w:pPr>
          </w:p>
        </w:tc>
        <w:tc>
          <w:tcPr>
            <w:tcW w:w="360" w:type="dxa"/>
            <w:vMerge w:val="restart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F37523" w:rsidRDefault="005A0B4C" w:rsidP="003D4F41">
            <w:pPr>
              <w:pStyle w:val="Quote"/>
              <w:jc w:val="both"/>
            </w:pPr>
            <w:r>
              <w:t>“If only we could remember what the world looked like through the eyes of a child</w:t>
            </w:r>
            <w:r w:rsidR="00465C9B">
              <w:t>.</w:t>
            </w:r>
            <w:r>
              <w:t>”</w:t>
            </w:r>
          </w:p>
        </w:tc>
      </w:tr>
      <w:tr w:rsidR="00346FFA" w:rsidRPr="005F0F31" w:rsidTr="005A0B4C">
        <w:trPr>
          <w:trHeight w:val="369"/>
          <w:jc w:val="center"/>
        </w:trPr>
        <w:tc>
          <w:tcPr>
            <w:tcW w:w="4534" w:type="dxa"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250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666" w:type="dxa"/>
            <w:vMerge/>
          </w:tcPr>
          <w:p w:rsidR="00346FFA" w:rsidRPr="005F0F31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F0F31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F0F31" w:rsidRDefault="00346FFA" w:rsidP="00346FFA">
            <w:pPr>
              <w:pStyle w:val="NoSpacing"/>
            </w:pPr>
          </w:p>
        </w:tc>
      </w:tr>
      <w:tr w:rsidR="004642F0" w:rsidRPr="005F0F31" w:rsidTr="005A0B4C">
        <w:trPr>
          <w:trHeight w:val="1872"/>
          <w:jc w:val="center"/>
        </w:trPr>
        <w:tc>
          <w:tcPr>
            <w:tcW w:w="4534" w:type="dxa"/>
            <w:vMerge w:val="restart"/>
          </w:tcPr>
          <w:p w:rsidR="00813BE0" w:rsidRPr="00813BE0" w:rsidRDefault="00813BE0" w:rsidP="003D4F41">
            <w:pPr>
              <w:jc w:val="center"/>
              <w:rPr>
                <w:b/>
                <w:sz w:val="28"/>
                <w:szCs w:val="28"/>
              </w:rPr>
            </w:pPr>
            <w:r w:rsidRPr="00813BE0">
              <w:rPr>
                <w:b/>
                <w:sz w:val="28"/>
                <w:szCs w:val="28"/>
              </w:rPr>
              <w:t>Foundational Family Services</w:t>
            </w:r>
          </w:p>
          <w:p w:rsidR="00813BE0" w:rsidRDefault="00813BE0" w:rsidP="003D4F41">
            <w:pPr>
              <w:jc w:val="both"/>
            </w:pPr>
            <w:r>
              <w:t>You can access Foundational Family Services, free of charge at any time.</w:t>
            </w:r>
            <w:r w:rsidR="003D4F41">
              <w:t xml:space="preserve"> </w:t>
            </w:r>
            <w:r>
              <w:t xml:space="preserve"> All you need is your OAP number.</w:t>
            </w:r>
          </w:p>
          <w:p w:rsidR="00813BE0" w:rsidRDefault="00813BE0" w:rsidP="003D4F41">
            <w:pPr>
              <w:jc w:val="both"/>
            </w:pPr>
            <w:r>
              <w:t>You can m</w:t>
            </w:r>
            <w:r w:rsidR="003D4F41">
              <w:t>eet with a Family Support Co</w:t>
            </w:r>
            <w:r>
              <w:t>ordinator</w:t>
            </w:r>
            <w:r w:rsidR="003D4F41">
              <w:t xml:space="preserve"> (FSC)</w:t>
            </w:r>
            <w:r>
              <w:t xml:space="preserve"> b</w:t>
            </w:r>
            <w:r w:rsidR="003D4F41">
              <w:t>y calling CSBD at: 613 966 7413.  I</w:t>
            </w:r>
            <w:r>
              <w:t xml:space="preserve">f you have already been in touch </w:t>
            </w:r>
            <w:r w:rsidR="003D4F41">
              <w:t xml:space="preserve">with someone at Autism Services, please feel free to </w:t>
            </w:r>
            <w:r>
              <w:t xml:space="preserve">reach out and they will assist you </w:t>
            </w:r>
            <w:r w:rsidR="003D4F41">
              <w:t xml:space="preserve">in getting </w:t>
            </w:r>
            <w:r>
              <w:t xml:space="preserve">connected. </w:t>
            </w:r>
            <w:r w:rsidR="003D4F41">
              <w:t xml:space="preserve"> </w:t>
            </w:r>
            <w:r>
              <w:t xml:space="preserve">Your FSC will </w:t>
            </w:r>
            <w:r w:rsidR="00465C9B">
              <w:t>collect your OAP number on</w:t>
            </w:r>
            <w:r>
              <w:t xml:space="preserve"> your intake information.</w:t>
            </w:r>
          </w:p>
          <w:p w:rsidR="004642F0" w:rsidRPr="00990E76" w:rsidRDefault="00813BE0" w:rsidP="00E77D3A">
            <w:pPr>
              <w:jc w:val="both"/>
            </w:pPr>
            <w:r>
              <w:t xml:space="preserve">When you register for any of the online </w:t>
            </w:r>
            <w:r w:rsidR="00E77D3A">
              <w:t>workshops,</w:t>
            </w:r>
            <w:r>
              <w:t xml:space="preserve"> you </w:t>
            </w:r>
            <w:proofErr w:type="gramStart"/>
            <w:r>
              <w:t>wil</w:t>
            </w:r>
            <w:r w:rsidR="003D4F41">
              <w:t>l be asked</w:t>
            </w:r>
            <w:proofErr w:type="gramEnd"/>
            <w:r w:rsidR="003D4F41">
              <w:t xml:space="preserve"> </w:t>
            </w:r>
            <w:r w:rsidR="00E77D3A">
              <w:t>to provide</w:t>
            </w:r>
            <w:r w:rsidR="003D4F41">
              <w:t xml:space="preserve"> your OAP number, s</w:t>
            </w:r>
            <w:r>
              <w:t xml:space="preserve">o keep it handy. </w:t>
            </w:r>
            <w:r>
              <w:sym w:font="Wingdings" w:char="F04A"/>
            </w:r>
          </w:p>
        </w:tc>
        <w:tc>
          <w:tcPr>
            <w:tcW w:w="250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666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F0F31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5A0B4C" w:rsidRPr="005A0B4C" w:rsidRDefault="005A0B4C" w:rsidP="003D4F41">
            <w:pPr>
              <w:pStyle w:val="Heading1"/>
              <w:jc w:val="center"/>
              <w:rPr>
                <w:rStyle w:val="Heading1Char"/>
                <w:b/>
                <w:sz w:val="32"/>
                <w:szCs w:val="32"/>
              </w:rPr>
            </w:pPr>
            <w:r w:rsidRPr="005A0B4C">
              <w:rPr>
                <w:sz w:val="32"/>
                <w:szCs w:val="32"/>
              </w:rPr>
              <w:t>Transition Supports</w:t>
            </w:r>
          </w:p>
          <w:p w:rsidR="00B67824" w:rsidRPr="005A0B4C" w:rsidRDefault="005A0B4C" w:rsidP="003D4F41">
            <w:pPr>
              <w:pStyle w:val="Heading1"/>
              <w:jc w:val="both"/>
              <w:rPr>
                <w:rStyle w:val="Heading1Char"/>
                <w:b/>
                <w:sz w:val="22"/>
              </w:rPr>
            </w:pPr>
            <w:r w:rsidRPr="005A0B4C">
              <w:rPr>
                <w:sz w:val="22"/>
              </w:rPr>
              <w:t xml:space="preserve">Parents and caregivers can meet with a member of our team to brainstorm, consult and problem solve at a time of transition in their child’s life (transition to school, transition to a new school etc.). </w:t>
            </w:r>
            <w:r w:rsidR="00E77D3A">
              <w:rPr>
                <w:sz w:val="22"/>
              </w:rPr>
              <w:t xml:space="preserve"> </w:t>
            </w:r>
            <w:r w:rsidRPr="005A0B4C">
              <w:rPr>
                <w:sz w:val="22"/>
              </w:rPr>
              <w:t>Our Family Support Coordinators are also available to support you at planning and transition meetings.</w:t>
            </w:r>
          </w:p>
          <w:p w:rsidR="004642F0" w:rsidRPr="00990E76" w:rsidRDefault="004642F0" w:rsidP="005A0B4C"/>
          <w:p w:rsidR="00B67824" w:rsidRPr="00990E76" w:rsidRDefault="00B67824" w:rsidP="00990E76"/>
        </w:tc>
      </w:tr>
      <w:tr w:rsidR="004642F0" w:rsidRPr="005F0F31" w:rsidTr="005A0B4C">
        <w:trPr>
          <w:trHeight w:val="4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25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666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  <w:tr w:rsidR="004642F0" w:rsidRPr="005F0F31" w:rsidTr="005A0B4C">
        <w:trPr>
          <w:trHeight w:val="4032"/>
          <w:jc w:val="center"/>
        </w:trPr>
        <w:tc>
          <w:tcPr>
            <w:tcW w:w="4534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25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666" w:type="dxa"/>
          </w:tcPr>
          <w:p w:rsidR="004642F0" w:rsidRPr="005F0F31" w:rsidRDefault="004642F0" w:rsidP="00C46111">
            <w:pPr>
              <w:rPr>
                <w:noProof/>
              </w:rPr>
            </w:pPr>
          </w:p>
        </w:tc>
        <w:tc>
          <w:tcPr>
            <w:tcW w:w="360" w:type="dxa"/>
            <w:vMerge/>
          </w:tcPr>
          <w:p w:rsidR="004642F0" w:rsidRPr="005F0F31" w:rsidRDefault="004642F0" w:rsidP="00B67824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4642F0" w:rsidRPr="005F0F31" w:rsidRDefault="004642F0" w:rsidP="004642F0">
            <w:pPr>
              <w:rPr>
                <w:sz w:val="21"/>
              </w:rPr>
            </w:pPr>
          </w:p>
        </w:tc>
      </w:tr>
    </w:tbl>
    <w:p w:rsidR="00B67824" w:rsidRPr="00990E76" w:rsidRDefault="00B67824" w:rsidP="00C46111"/>
    <w:sectPr w:rsidR="00B67824" w:rsidRPr="00990E76" w:rsidSect="00C46111">
      <w:headerReference w:type="default" r:id="rId14"/>
      <w:headerReference w:type="first" r:id="rId15"/>
      <w:pgSz w:w="15840" w:h="12240" w:orient="landscape" w:code="1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40" w:rsidRDefault="00BF5740" w:rsidP="00D210FA">
      <w:pPr>
        <w:spacing w:after="0"/>
      </w:pPr>
      <w:r>
        <w:separator/>
      </w:r>
    </w:p>
  </w:endnote>
  <w:endnote w:type="continuationSeparator" w:id="0">
    <w:p w:rsidR="00BF5740" w:rsidRDefault="00BF5740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40" w:rsidRDefault="00BF5740" w:rsidP="00D210FA">
      <w:pPr>
        <w:spacing w:after="0"/>
      </w:pPr>
      <w:r>
        <w:separator/>
      </w:r>
    </w:p>
  </w:footnote>
  <w:footnote w:type="continuationSeparator" w:id="0">
    <w:p w:rsidR="00BF5740" w:rsidRDefault="00BF5740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7" alt="Inside image top left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Rectangle 48" o:spid="_x0000_s1029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Rectangle 56" o:spid="_x0000_s1033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Rectangle 52" o:spid="_x0000_s103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2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Rectangle 23" o:spid="_x0000_s1056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Rectangle 40" o:spid="_x0000_s106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formatting="1" w:enforcement="1" w:cryptProviderType="rsaAES" w:cryptAlgorithmClass="hash" w:cryptAlgorithmType="typeAny" w:cryptAlgorithmSid="14" w:cryptSpinCount="100000" w:hash="5YJw3s92Cjv7xS5EHuKyE5d8gTldJ+k16sfgGSuw23GAMxBuUXd/To8KN+ojqco5dMXZ+mxY5z1kBuj/q5pHQg==" w:salt="oE9a4eD5KmjYLPOWhTbJDA==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0F"/>
    <w:rsid w:val="00002366"/>
    <w:rsid w:val="00023293"/>
    <w:rsid w:val="00061977"/>
    <w:rsid w:val="0008782A"/>
    <w:rsid w:val="000A065A"/>
    <w:rsid w:val="00106FC5"/>
    <w:rsid w:val="00120DEC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D4F41"/>
    <w:rsid w:val="003E545F"/>
    <w:rsid w:val="003F03D2"/>
    <w:rsid w:val="003F1E1A"/>
    <w:rsid w:val="004045E5"/>
    <w:rsid w:val="00421496"/>
    <w:rsid w:val="00422C27"/>
    <w:rsid w:val="0044367C"/>
    <w:rsid w:val="004642F0"/>
    <w:rsid w:val="00465C9B"/>
    <w:rsid w:val="00500564"/>
    <w:rsid w:val="0051102B"/>
    <w:rsid w:val="005838BC"/>
    <w:rsid w:val="005A0B4C"/>
    <w:rsid w:val="005B57E1"/>
    <w:rsid w:val="005E61E0"/>
    <w:rsid w:val="005F0F31"/>
    <w:rsid w:val="006024ED"/>
    <w:rsid w:val="0061793F"/>
    <w:rsid w:val="0062123A"/>
    <w:rsid w:val="006605F8"/>
    <w:rsid w:val="006676A1"/>
    <w:rsid w:val="006833BD"/>
    <w:rsid w:val="006E2D42"/>
    <w:rsid w:val="00720FEE"/>
    <w:rsid w:val="00764B6F"/>
    <w:rsid w:val="007C7319"/>
    <w:rsid w:val="007D43B3"/>
    <w:rsid w:val="007F20B4"/>
    <w:rsid w:val="007F525E"/>
    <w:rsid w:val="00813BE0"/>
    <w:rsid w:val="0082695D"/>
    <w:rsid w:val="0083044C"/>
    <w:rsid w:val="0085182D"/>
    <w:rsid w:val="008709F5"/>
    <w:rsid w:val="00877A91"/>
    <w:rsid w:val="00884E86"/>
    <w:rsid w:val="008927FF"/>
    <w:rsid w:val="008E3921"/>
    <w:rsid w:val="0090027B"/>
    <w:rsid w:val="00905238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56772"/>
    <w:rsid w:val="00B67824"/>
    <w:rsid w:val="00BE15BA"/>
    <w:rsid w:val="00BF5740"/>
    <w:rsid w:val="00C20ED0"/>
    <w:rsid w:val="00C31739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57CF5"/>
    <w:rsid w:val="00D87B48"/>
    <w:rsid w:val="00D91203"/>
    <w:rsid w:val="00D94FD1"/>
    <w:rsid w:val="00E41692"/>
    <w:rsid w:val="00E55D74"/>
    <w:rsid w:val="00E77D3A"/>
    <w:rsid w:val="00E81234"/>
    <w:rsid w:val="00E9037E"/>
    <w:rsid w:val="00EA120D"/>
    <w:rsid w:val="00EA49C3"/>
    <w:rsid w:val="00EB5E14"/>
    <w:rsid w:val="00EE19D9"/>
    <w:rsid w:val="00EF26FC"/>
    <w:rsid w:val="00EF290F"/>
    <w:rsid w:val="00F37523"/>
    <w:rsid w:val="00F47F8D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yperlink">
    <w:name w:val="Hyperlink"/>
    <w:basedOn w:val="DefaultParagraphFont"/>
    <w:uiPriority w:val="99"/>
    <w:unhideWhenUsed/>
    <w:rsid w:val="005A0B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-marie.wilson@csbd.on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len.anderson@csbd.on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11.jpeg"/><Relationship Id="rId5" Type="http://schemas.openxmlformats.org/officeDocument/2006/relationships/image" Target="media/image10.jpeg"/><Relationship Id="rId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76C48E-4C0F-468C-B5F5-074B2EE9B9EF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3339C7-2C3F-4657-9E0B-3F422901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2020-09-17T15:34:00Z</dcterms:created>
  <dcterms:modified xsi:type="dcterms:W3CDTF">2020-09-17T18:46:00Z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